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8D50" w14:textId="77777777" w:rsidR="00230541" w:rsidRDefault="00000000">
      <w:pPr>
        <w:spacing w:line="276" w:lineRule="auto"/>
        <w:jc w:val="center"/>
      </w:pPr>
      <w:r>
        <w:rPr>
          <w:rFonts w:ascii="Times New Roman" w:eastAsia="Times New Roman" w:hAnsi="Times New Roman"/>
          <w:b/>
          <w:sz w:val="32"/>
          <w:szCs w:val="32"/>
        </w:rPr>
        <w:t>Titre</w:t>
      </w:r>
    </w:p>
    <w:p w14:paraId="4CB53763" w14:textId="77777777" w:rsidR="00230541" w:rsidRDefault="00000000">
      <w:pPr>
        <w:spacing w:line="276" w:lineRule="auto"/>
        <w:jc w:val="center"/>
      </w:pPr>
      <w:r>
        <w:rPr>
          <w:rFonts w:ascii="Times New Roman" w:eastAsia="Times New Roman" w:hAnsi="Times New Roman"/>
          <w:b/>
          <w:sz w:val="32"/>
          <w:szCs w:val="32"/>
        </w:rPr>
        <w:t xml:space="preserve">Times New Roman (16 gras) </w:t>
      </w:r>
    </w:p>
    <w:p w14:paraId="5F1ABE95" w14:textId="77777777" w:rsidR="00230541" w:rsidRDefault="00230541">
      <w:pPr>
        <w:spacing w:line="276" w:lineRule="auto"/>
        <w:rPr>
          <w:rFonts w:ascii="Times New Roman" w:eastAsia="Times New Roman" w:hAnsi="Times New Roman"/>
          <w:b/>
          <w:sz w:val="28"/>
          <w:szCs w:val="28"/>
        </w:rPr>
      </w:pPr>
    </w:p>
    <w:p w14:paraId="200E505E" w14:textId="77777777" w:rsidR="00230541" w:rsidRDefault="00000000">
      <w:pPr>
        <w:spacing w:line="276" w:lineRule="auto"/>
        <w:jc w:val="center"/>
      </w:pPr>
      <w:r>
        <w:rPr>
          <w:rFonts w:ascii="Times New Roman" w:eastAsia="Times New Roman" w:hAnsi="Times New Roman"/>
          <w:b/>
        </w:rPr>
        <w:t xml:space="preserve">A. </w:t>
      </w:r>
      <w:proofErr w:type="spellStart"/>
      <w:r>
        <w:rPr>
          <w:rFonts w:ascii="Times New Roman" w:eastAsia="Times New Roman" w:hAnsi="Times New Roman"/>
          <w:b/>
        </w:rPr>
        <w:t>AUTEUR</w:t>
      </w:r>
      <w:r>
        <w:rPr>
          <w:rFonts w:ascii="Times New Roman" w:eastAsia="Times New Roman" w:hAnsi="Times New Roman"/>
          <w:b/>
          <w:vertAlign w:val="superscript"/>
        </w:rPr>
        <w:t>a</w:t>
      </w:r>
      <w:proofErr w:type="spellEnd"/>
      <w:r>
        <w:rPr>
          <w:rFonts w:ascii="Times New Roman" w:eastAsia="Times New Roman" w:hAnsi="Times New Roman"/>
          <w:b/>
        </w:rPr>
        <w:t xml:space="preserve">, A. </w:t>
      </w:r>
      <w:proofErr w:type="spellStart"/>
      <w:r>
        <w:rPr>
          <w:rFonts w:ascii="Times New Roman" w:eastAsia="Times New Roman" w:hAnsi="Times New Roman"/>
          <w:b/>
        </w:rPr>
        <w:t>AUTEUR</w:t>
      </w:r>
      <w:r>
        <w:rPr>
          <w:rFonts w:ascii="Times New Roman" w:eastAsia="Times New Roman" w:hAnsi="Times New Roman"/>
          <w:b/>
          <w:vertAlign w:val="superscript"/>
        </w:rPr>
        <w:t>b</w:t>
      </w:r>
      <w:proofErr w:type="spellEnd"/>
      <w:r>
        <w:rPr>
          <w:rFonts w:ascii="Times New Roman" w:eastAsia="Times New Roman" w:hAnsi="Times New Roman"/>
          <w:b/>
        </w:rPr>
        <w:t>… (14 gras)</w:t>
      </w:r>
    </w:p>
    <w:p w14:paraId="602DF1C0" w14:textId="77777777" w:rsidR="00230541" w:rsidRDefault="00230541">
      <w:pPr>
        <w:spacing w:line="276" w:lineRule="auto"/>
        <w:jc w:val="center"/>
        <w:rPr>
          <w:rFonts w:ascii="Times New Roman" w:eastAsia="Times New Roman" w:hAnsi="Times New Roman"/>
          <w:b/>
          <w:sz w:val="28"/>
          <w:szCs w:val="28"/>
        </w:rPr>
      </w:pPr>
    </w:p>
    <w:p w14:paraId="5DA03727" w14:textId="77777777" w:rsidR="00230541" w:rsidRDefault="00000000">
      <w:pPr>
        <w:spacing w:line="276" w:lineRule="auto"/>
        <w:jc w:val="center"/>
      </w:pPr>
      <w:r>
        <w:rPr>
          <w:rFonts w:ascii="Times New Roman" w:eastAsia="Times New Roman" w:hAnsi="Times New Roman"/>
          <w:sz w:val="20"/>
          <w:szCs w:val="20"/>
        </w:rPr>
        <w:t xml:space="preserve">a. Affiliation + </w:t>
      </w:r>
      <w:proofErr w:type="gramStart"/>
      <w:r>
        <w:rPr>
          <w:rFonts w:ascii="Times New Roman" w:eastAsia="Times New Roman" w:hAnsi="Times New Roman"/>
          <w:sz w:val="20"/>
          <w:szCs w:val="20"/>
        </w:rPr>
        <w:t>email</w:t>
      </w:r>
      <w:proofErr w:type="gramEnd"/>
      <w:r>
        <w:rPr>
          <w:rFonts w:ascii="Times New Roman" w:eastAsia="Times New Roman" w:hAnsi="Times New Roman"/>
          <w:sz w:val="20"/>
          <w:szCs w:val="20"/>
        </w:rPr>
        <w:t xml:space="preserve"> (10)</w:t>
      </w:r>
    </w:p>
    <w:p w14:paraId="6670BC4A" w14:textId="77777777" w:rsidR="00230541" w:rsidRDefault="00000000">
      <w:pPr>
        <w:spacing w:line="276" w:lineRule="auto"/>
        <w:jc w:val="center"/>
      </w:pPr>
      <w:r>
        <w:rPr>
          <w:rFonts w:ascii="Times New Roman" w:eastAsia="Times New Roman" w:hAnsi="Times New Roman"/>
          <w:sz w:val="20"/>
          <w:szCs w:val="20"/>
        </w:rPr>
        <w:t xml:space="preserve">b. Affiliation + </w:t>
      </w:r>
      <w:proofErr w:type="gramStart"/>
      <w:r>
        <w:rPr>
          <w:rFonts w:ascii="Times New Roman" w:eastAsia="Times New Roman" w:hAnsi="Times New Roman"/>
          <w:sz w:val="20"/>
          <w:szCs w:val="20"/>
        </w:rPr>
        <w:t>email</w:t>
      </w:r>
      <w:proofErr w:type="gramEnd"/>
      <w:r>
        <w:rPr>
          <w:rFonts w:ascii="Times New Roman" w:eastAsia="Times New Roman" w:hAnsi="Times New Roman"/>
          <w:sz w:val="20"/>
          <w:szCs w:val="20"/>
        </w:rPr>
        <w:t xml:space="preserve"> (10)</w:t>
      </w:r>
    </w:p>
    <w:p w14:paraId="0DF45D05" w14:textId="77777777" w:rsidR="00230541" w:rsidRDefault="00000000">
      <w:pPr>
        <w:spacing w:line="276" w:lineRule="auto"/>
        <w:jc w:val="center"/>
      </w:pPr>
      <w:r>
        <w:rPr>
          <w:rFonts w:ascii="Times New Roman" w:eastAsia="Times New Roman" w:hAnsi="Times New Roman"/>
        </w:rPr>
        <w:t>…</w:t>
      </w:r>
    </w:p>
    <w:p w14:paraId="72A13F23" w14:textId="77777777" w:rsidR="00230541" w:rsidRDefault="00230541">
      <w:pPr>
        <w:spacing w:line="276" w:lineRule="auto"/>
        <w:jc w:val="center"/>
        <w:rPr>
          <w:rFonts w:ascii="Times New Roman" w:eastAsia="Times New Roman" w:hAnsi="Times New Roman"/>
          <w:i/>
          <w:sz w:val="20"/>
          <w:szCs w:val="20"/>
        </w:rPr>
      </w:pPr>
    </w:p>
    <w:p w14:paraId="2F001601" w14:textId="77777777" w:rsidR="00230541" w:rsidRDefault="00000000">
      <w:pPr>
        <w:spacing w:line="276" w:lineRule="auto"/>
      </w:pPr>
      <w:r>
        <w:rPr>
          <w:rFonts w:ascii="Times New Roman" w:eastAsia="Times New Roman" w:hAnsi="Times New Roman"/>
          <w:b/>
        </w:rPr>
        <w:t>1</w:t>
      </w:r>
      <w:r>
        <w:rPr>
          <w:rFonts w:ascii="Times New Roman" w:eastAsia="Times New Roman" w:hAnsi="Times New Roman"/>
          <w:b/>
        </w:rPr>
        <w:tab/>
        <w:t>Introduction (12 gras)</w:t>
      </w:r>
    </w:p>
    <w:p w14:paraId="3158FA9B" w14:textId="77777777" w:rsidR="00230541" w:rsidRDefault="00230541">
      <w:pPr>
        <w:spacing w:line="276" w:lineRule="auto"/>
        <w:rPr>
          <w:rFonts w:ascii="Times New Roman" w:eastAsia="Times New Roman" w:hAnsi="Times New Roman"/>
          <w:b/>
          <w:sz w:val="20"/>
          <w:szCs w:val="20"/>
        </w:rPr>
      </w:pPr>
    </w:p>
    <w:p w14:paraId="232C52A0" w14:textId="77777777" w:rsidR="00D11421" w:rsidRDefault="00D11421" w:rsidP="00CA0717">
      <w:pPr>
        <w:spacing w:line="276" w:lineRule="auto"/>
        <w:jc w:val="both"/>
        <w:rPr>
          <w:rFonts w:ascii="Times New Roman" w:eastAsia="Times New Roman" w:hAnsi="Times New Roman"/>
          <w:sz w:val="20"/>
          <w:szCs w:val="20"/>
        </w:rPr>
      </w:pPr>
      <w:r w:rsidRPr="00D11421">
        <w:rPr>
          <w:rFonts w:ascii="Times New Roman" w:eastAsia="Times New Roman" w:hAnsi="Times New Roman"/>
          <w:sz w:val="20"/>
          <w:szCs w:val="20"/>
        </w:rPr>
        <w:t xml:space="preserve">Après le succès des éditions précédentes de </w:t>
      </w:r>
      <w:proofErr w:type="spellStart"/>
      <w:r w:rsidRPr="00D11421">
        <w:rPr>
          <w:rFonts w:ascii="Times New Roman" w:eastAsia="Times New Roman" w:hAnsi="Times New Roman"/>
          <w:sz w:val="20"/>
          <w:szCs w:val="20"/>
        </w:rPr>
        <w:t>Méca</w:t>
      </w:r>
      <w:proofErr w:type="spellEnd"/>
      <w:r w:rsidRPr="00D11421">
        <w:rPr>
          <w:rFonts w:ascii="Times New Roman" w:eastAsia="Times New Roman" w:hAnsi="Times New Roman"/>
          <w:sz w:val="20"/>
          <w:szCs w:val="20"/>
        </w:rPr>
        <w:t>-J (2021, 2023 et 2024), l'Association Française de Mécanique (</w:t>
      </w:r>
      <w:hyperlink r:id="rId6" w:history="1">
        <w:r w:rsidRPr="00D11421">
          <w:rPr>
            <w:rStyle w:val="Lienhypertexte"/>
            <w:rFonts w:ascii="Times New Roman" w:eastAsia="Times New Roman" w:hAnsi="Times New Roman"/>
            <w:sz w:val="20"/>
            <w:szCs w:val="20"/>
          </w:rPr>
          <w:t>AFM</w:t>
        </w:r>
      </w:hyperlink>
      <w:r w:rsidRPr="00D11421">
        <w:rPr>
          <w:rFonts w:ascii="Times New Roman" w:eastAsia="Times New Roman" w:hAnsi="Times New Roman"/>
          <w:sz w:val="20"/>
          <w:szCs w:val="20"/>
        </w:rPr>
        <w:t>), via son Groupe Thématique Transversal – Approche Universitaire de la Mécanique (</w:t>
      </w:r>
      <w:hyperlink r:id="rId7" w:history="1">
        <w:r w:rsidRPr="00D11421">
          <w:rPr>
            <w:rStyle w:val="Lienhypertexte"/>
            <w:rFonts w:ascii="Times New Roman" w:eastAsia="Times New Roman" w:hAnsi="Times New Roman"/>
            <w:sz w:val="20"/>
            <w:szCs w:val="20"/>
          </w:rPr>
          <w:t>GTT-AUM</w:t>
        </w:r>
      </w:hyperlink>
      <w:r w:rsidRPr="00D11421">
        <w:rPr>
          <w:rFonts w:ascii="Times New Roman" w:eastAsia="Times New Roman" w:hAnsi="Times New Roman"/>
          <w:sz w:val="20"/>
          <w:szCs w:val="20"/>
        </w:rPr>
        <w:t xml:space="preserve">), relance avec enthousiasme la quatrième édition du congrès </w:t>
      </w:r>
      <w:proofErr w:type="spellStart"/>
      <w:r w:rsidRPr="00D11421">
        <w:rPr>
          <w:rFonts w:ascii="Times New Roman" w:eastAsia="Times New Roman" w:hAnsi="Times New Roman"/>
          <w:sz w:val="20"/>
          <w:szCs w:val="20"/>
        </w:rPr>
        <w:t>Méca</w:t>
      </w:r>
      <w:proofErr w:type="spellEnd"/>
      <w:r w:rsidRPr="00D11421">
        <w:rPr>
          <w:rFonts w:ascii="Times New Roman" w:eastAsia="Times New Roman" w:hAnsi="Times New Roman"/>
          <w:sz w:val="20"/>
          <w:szCs w:val="20"/>
        </w:rPr>
        <w:t xml:space="preserve">-J, qui se tiendra </w:t>
      </w:r>
      <w:r w:rsidRPr="00D11421">
        <w:rPr>
          <w:rFonts w:ascii="Times New Roman" w:eastAsia="Times New Roman" w:hAnsi="Times New Roman"/>
          <w:b/>
          <w:bCs/>
          <w:sz w:val="20"/>
          <w:szCs w:val="20"/>
          <w:u w:val="single"/>
        </w:rPr>
        <w:t>en présentiel à Strasbourg du 26 au 28 Aout 2026.</w:t>
      </w:r>
      <w:r w:rsidRPr="00D11421">
        <w:rPr>
          <w:rFonts w:ascii="Times New Roman" w:eastAsia="Times New Roman" w:hAnsi="Times New Roman"/>
          <w:sz w:val="20"/>
          <w:szCs w:val="20"/>
        </w:rPr>
        <w:t xml:space="preserve"> </w:t>
      </w:r>
      <w:r>
        <w:rPr>
          <w:rFonts w:ascii="Times New Roman" w:eastAsia="Times New Roman" w:hAnsi="Times New Roman"/>
          <w:sz w:val="20"/>
          <w:szCs w:val="20"/>
        </w:rPr>
        <w:t xml:space="preserve"> </w:t>
      </w:r>
    </w:p>
    <w:p w14:paraId="7EBDB625" w14:textId="77777777" w:rsidR="00D11421" w:rsidRDefault="00D11421" w:rsidP="00D11421">
      <w:pPr>
        <w:spacing w:line="276" w:lineRule="auto"/>
        <w:jc w:val="both"/>
        <w:rPr>
          <w:rFonts w:ascii="Times New Roman" w:eastAsia="Times New Roman" w:hAnsi="Times New Roman"/>
          <w:sz w:val="20"/>
          <w:szCs w:val="20"/>
        </w:rPr>
      </w:pPr>
    </w:p>
    <w:p w14:paraId="6F9DD672" w14:textId="77777777" w:rsidR="00CA0717" w:rsidRDefault="00CA0717" w:rsidP="00CA0717">
      <w:pPr>
        <w:spacing w:line="276" w:lineRule="auto"/>
        <w:jc w:val="both"/>
        <w:rPr>
          <w:rFonts w:ascii="Times New Roman" w:eastAsia="Times New Roman" w:hAnsi="Times New Roman"/>
          <w:sz w:val="20"/>
          <w:szCs w:val="20"/>
        </w:rPr>
      </w:pPr>
      <w:r w:rsidRPr="00CA0717">
        <w:rPr>
          <w:rFonts w:ascii="Times New Roman" w:eastAsia="Times New Roman" w:hAnsi="Times New Roman"/>
          <w:sz w:val="20"/>
          <w:szCs w:val="20"/>
        </w:rPr>
        <w:t xml:space="preserve">Porté par et pour les jeunes mécaniciennes et mécaniciens, ce congrès constitue un espace d'échange, de partage et de collaboration unique entre </w:t>
      </w:r>
      <w:proofErr w:type="spellStart"/>
      <w:r w:rsidRPr="00CA0717">
        <w:rPr>
          <w:rFonts w:ascii="Times New Roman" w:eastAsia="Times New Roman" w:hAnsi="Times New Roman"/>
          <w:sz w:val="20"/>
          <w:szCs w:val="20"/>
        </w:rPr>
        <w:t>doctorant·e·s</w:t>
      </w:r>
      <w:proofErr w:type="spellEnd"/>
      <w:r w:rsidRPr="00CA0717">
        <w:rPr>
          <w:rFonts w:ascii="Times New Roman" w:eastAsia="Times New Roman" w:hAnsi="Times New Roman"/>
          <w:sz w:val="20"/>
          <w:szCs w:val="20"/>
        </w:rPr>
        <w:t xml:space="preserve">, </w:t>
      </w:r>
      <w:proofErr w:type="spellStart"/>
      <w:r w:rsidRPr="00CA0717">
        <w:rPr>
          <w:rFonts w:ascii="Times New Roman" w:eastAsia="Times New Roman" w:hAnsi="Times New Roman"/>
          <w:sz w:val="20"/>
          <w:szCs w:val="20"/>
        </w:rPr>
        <w:t>post-doctorant·e·s</w:t>
      </w:r>
      <w:proofErr w:type="spellEnd"/>
      <w:r w:rsidRPr="00CA0717">
        <w:rPr>
          <w:rFonts w:ascii="Times New Roman" w:eastAsia="Times New Roman" w:hAnsi="Times New Roman"/>
          <w:sz w:val="20"/>
          <w:szCs w:val="20"/>
        </w:rPr>
        <w:t xml:space="preserve">, jeunes </w:t>
      </w:r>
      <w:proofErr w:type="spellStart"/>
      <w:r w:rsidRPr="00CA0717">
        <w:rPr>
          <w:rFonts w:ascii="Times New Roman" w:eastAsia="Times New Roman" w:hAnsi="Times New Roman"/>
          <w:sz w:val="20"/>
          <w:szCs w:val="20"/>
        </w:rPr>
        <w:t>enseignant·e·s-chercheur·euse·s</w:t>
      </w:r>
      <w:proofErr w:type="spellEnd"/>
      <w:r w:rsidRPr="00CA0717">
        <w:rPr>
          <w:rFonts w:ascii="Times New Roman" w:eastAsia="Times New Roman" w:hAnsi="Times New Roman"/>
          <w:sz w:val="20"/>
          <w:szCs w:val="20"/>
        </w:rPr>
        <w:t xml:space="preserve"> et </w:t>
      </w:r>
      <w:proofErr w:type="spellStart"/>
      <w:r w:rsidRPr="00CA0717">
        <w:rPr>
          <w:rFonts w:ascii="Times New Roman" w:eastAsia="Times New Roman" w:hAnsi="Times New Roman"/>
          <w:sz w:val="20"/>
          <w:szCs w:val="20"/>
        </w:rPr>
        <w:t>ingénieur·e·s</w:t>
      </w:r>
      <w:proofErr w:type="spellEnd"/>
      <w:r w:rsidRPr="00CA0717">
        <w:rPr>
          <w:rFonts w:ascii="Times New Roman" w:eastAsia="Times New Roman" w:hAnsi="Times New Roman"/>
          <w:sz w:val="20"/>
          <w:szCs w:val="20"/>
        </w:rPr>
        <w:t xml:space="preserve"> travaillant dans le domaine de la mécanique au sens large. Après deux éditions régionales et une édition en ligne, </w:t>
      </w:r>
      <w:proofErr w:type="spellStart"/>
      <w:r w:rsidRPr="00CA0717">
        <w:rPr>
          <w:rFonts w:ascii="Times New Roman" w:eastAsia="Times New Roman" w:hAnsi="Times New Roman"/>
          <w:sz w:val="20"/>
          <w:szCs w:val="20"/>
        </w:rPr>
        <w:t>Méca</w:t>
      </w:r>
      <w:proofErr w:type="spellEnd"/>
      <w:r w:rsidRPr="00CA0717">
        <w:rPr>
          <w:rFonts w:ascii="Times New Roman" w:eastAsia="Times New Roman" w:hAnsi="Times New Roman"/>
          <w:sz w:val="20"/>
          <w:szCs w:val="20"/>
        </w:rPr>
        <w:t>-J 2026 vous donne rendez-vous au cœur de l'Europe scientifique, dans la ville de Strasbourg, pour une expérience scientifique et humaine riche en découvertes ! Les thématiques abordées couvriront l'ensemble des domaines de la mécanique, incluant (sans s'y limiter) : la mécanique des matériaux et des structures, la mécanique des fluides et la thermique, l'acoustique et les vibrations, la biomécanique, le génie civil et le génie mécanique,</w:t>
      </w:r>
      <w:r>
        <w:rPr>
          <w:rFonts w:ascii="Times New Roman" w:eastAsia="Times New Roman" w:hAnsi="Times New Roman"/>
          <w:sz w:val="20"/>
          <w:szCs w:val="20"/>
        </w:rPr>
        <w:t xml:space="preserve"> </w:t>
      </w:r>
      <w:r w:rsidRPr="00CA0717">
        <w:rPr>
          <w:rFonts w:ascii="Times New Roman" w:eastAsia="Times New Roman" w:hAnsi="Times New Roman"/>
          <w:sz w:val="20"/>
          <w:szCs w:val="20"/>
        </w:rPr>
        <w:t>ainsi que les approches numériques, expérimentales et multi-échelles.</w:t>
      </w:r>
      <w:r>
        <w:rPr>
          <w:rFonts w:ascii="Times New Roman" w:eastAsia="Times New Roman" w:hAnsi="Times New Roman"/>
          <w:sz w:val="20"/>
          <w:szCs w:val="20"/>
        </w:rPr>
        <w:t xml:space="preserve"> </w:t>
      </w:r>
    </w:p>
    <w:p w14:paraId="40ECFCA1" w14:textId="77777777" w:rsidR="00CA0717" w:rsidRDefault="00CA0717" w:rsidP="00CA0717">
      <w:pPr>
        <w:spacing w:line="276" w:lineRule="auto"/>
        <w:jc w:val="both"/>
        <w:rPr>
          <w:rFonts w:ascii="Times New Roman" w:eastAsia="Times New Roman" w:hAnsi="Times New Roman"/>
          <w:sz w:val="20"/>
          <w:szCs w:val="20"/>
        </w:rPr>
      </w:pPr>
    </w:p>
    <w:p w14:paraId="37BEA75D" w14:textId="6999AC7C" w:rsidR="00230541" w:rsidRDefault="00D11421" w:rsidP="00CA0717">
      <w:pPr>
        <w:spacing w:line="276" w:lineRule="auto"/>
        <w:jc w:val="both"/>
        <w:rPr>
          <w:rFonts w:ascii="Times New Roman" w:eastAsia="Times New Roman" w:hAnsi="Times New Roman"/>
          <w:sz w:val="20"/>
          <w:szCs w:val="20"/>
        </w:rPr>
      </w:pPr>
      <w:r w:rsidRPr="00D11421">
        <w:rPr>
          <w:rFonts w:ascii="Times New Roman" w:eastAsia="Times New Roman" w:hAnsi="Times New Roman"/>
          <w:sz w:val="20"/>
          <w:szCs w:val="20"/>
        </w:rPr>
        <w:t>Le programme proposera : des présentations orales et des sessions posters, des tables rondes thématiques, des moments conviviaux favorisant les échanges entre jeunes chercheurs et acteurs du monde académique et industriel.</w:t>
      </w:r>
    </w:p>
    <w:p w14:paraId="56ECFA72" w14:textId="77777777" w:rsidR="00CA0717" w:rsidRPr="00CA0717" w:rsidRDefault="00CA0717" w:rsidP="00CA0717">
      <w:pPr>
        <w:spacing w:line="276" w:lineRule="auto"/>
        <w:jc w:val="both"/>
        <w:rPr>
          <w:rFonts w:ascii="Times New Roman" w:eastAsia="Times New Roman" w:hAnsi="Times New Roman"/>
          <w:sz w:val="20"/>
          <w:szCs w:val="20"/>
        </w:rPr>
      </w:pPr>
    </w:p>
    <w:p w14:paraId="28276CD5" w14:textId="77777777" w:rsidR="00230541" w:rsidRDefault="00000000">
      <w:pPr>
        <w:spacing w:line="276" w:lineRule="auto"/>
      </w:pPr>
      <w:r>
        <w:rPr>
          <w:rFonts w:ascii="Times New Roman" w:eastAsia="Times New Roman" w:hAnsi="Times New Roman"/>
          <w:b/>
        </w:rPr>
        <w:t>2</w:t>
      </w:r>
      <w:r>
        <w:rPr>
          <w:rFonts w:ascii="Times New Roman" w:eastAsia="Times New Roman" w:hAnsi="Times New Roman"/>
          <w:b/>
        </w:rPr>
        <w:tab/>
        <w:t>Instructions (12 gras)</w:t>
      </w:r>
    </w:p>
    <w:p w14:paraId="0B86FD40" w14:textId="77777777" w:rsidR="00230541" w:rsidRDefault="00230541">
      <w:pPr>
        <w:spacing w:line="276" w:lineRule="auto"/>
        <w:rPr>
          <w:rFonts w:ascii="Times New Roman" w:eastAsia="Times New Roman" w:hAnsi="Times New Roman"/>
          <w:b/>
          <w:sz w:val="20"/>
          <w:szCs w:val="20"/>
        </w:rPr>
      </w:pPr>
    </w:p>
    <w:p w14:paraId="54AE39DE" w14:textId="77777777" w:rsidR="00230541" w:rsidRDefault="00000000" w:rsidP="00CA0717">
      <w:pPr>
        <w:spacing w:line="276" w:lineRule="auto"/>
        <w:jc w:val="both"/>
      </w:pPr>
      <w:r>
        <w:rPr>
          <w:rFonts w:ascii="Times New Roman" w:eastAsia="Times New Roman" w:hAnsi="Times New Roman"/>
          <w:sz w:val="20"/>
          <w:szCs w:val="20"/>
        </w:rPr>
        <w:t>Les contributions se font sous la forme d'un résumé d'une page en français (ou en anglais si nécessaire). Les contributions acceptées par le comité scientifique feront l'objet d'une présentation orale d'une quinzaine de minutes suivie de questions, ou d'un poster suivant le choix de l'auteur.</w:t>
      </w:r>
    </w:p>
    <w:p w14:paraId="3AEEEDA3" w14:textId="77777777" w:rsidR="00230541" w:rsidRDefault="00230541">
      <w:pPr>
        <w:spacing w:line="276" w:lineRule="auto"/>
        <w:jc w:val="center"/>
        <w:rPr>
          <w:sz w:val="20"/>
          <w:szCs w:val="20"/>
        </w:rPr>
      </w:pPr>
    </w:p>
    <w:p w14:paraId="7B1F66F2" w14:textId="77777777" w:rsidR="00230541" w:rsidRDefault="00230541">
      <w:pPr>
        <w:spacing w:line="276" w:lineRule="auto"/>
        <w:jc w:val="center"/>
        <w:rPr>
          <w:rFonts w:ascii="Times New Roman" w:eastAsia="Times New Roman" w:hAnsi="Times New Roman"/>
          <w:i/>
          <w:iCs/>
          <w:sz w:val="16"/>
          <w:szCs w:val="16"/>
        </w:rPr>
      </w:pPr>
    </w:p>
    <w:p w14:paraId="7EBD3EDB" w14:textId="77777777" w:rsidR="00230541" w:rsidRDefault="00000000">
      <w:pPr>
        <w:spacing w:line="276" w:lineRule="auto"/>
        <w:jc w:val="center"/>
      </w:pPr>
      <w:r>
        <w:tab/>
        <w:t>Figure</w:t>
      </w:r>
      <w:r>
        <w:rPr>
          <w:rFonts w:ascii="Times New Roman" w:eastAsia="Times New Roman" w:hAnsi="Times New Roman"/>
          <w:i/>
          <w:iCs/>
          <w:noProof/>
          <w:sz w:val="16"/>
          <w:szCs w:val="16"/>
          <w:lang w:eastAsia="fr-FR"/>
        </w:rPr>
        <w:drawing>
          <wp:anchor distT="0" distB="0" distL="114300" distR="114300" simplePos="0" relativeHeight="251657728" behindDoc="0" locked="0" layoutInCell="1" allowOverlap="1" wp14:anchorId="2AC42167" wp14:editId="41422F7B">
            <wp:simplePos x="0" y="0"/>
            <wp:positionH relativeFrom="column">
              <wp:posOffset>2423790</wp:posOffset>
            </wp:positionH>
            <wp:positionV relativeFrom="paragraph">
              <wp:posOffset>2542</wp:posOffset>
            </wp:positionV>
            <wp:extent cx="1359539" cy="1230626"/>
            <wp:effectExtent l="0" t="0" r="0" b="7624"/>
            <wp:wrapTopAndBottom/>
            <wp:docPr id="354264201"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5" t="-17" r="-15" b="-17"/>
                    <a:stretch>
                      <a:fillRect/>
                    </a:stretch>
                  </pic:blipFill>
                  <pic:spPr>
                    <a:xfrm>
                      <a:off x="0" y="0"/>
                      <a:ext cx="1359539" cy="1230626"/>
                    </a:xfrm>
                    <a:prstGeom prst="rect">
                      <a:avLst/>
                    </a:prstGeom>
                    <a:solidFill>
                      <a:srgbClr val="FFFFFF"/>
                    </a:solidFill>
                    <a:ln>
                      <a:noFill/>
                      <a:prstDash/>
                    </a:ln>
                  </pic:spPr>
                </pic:pic>
              </a:graphicData>
            </a:graphic>
          </wp:anchor>
        </w:drawing>
      </w:r>
      <w:r>
        <w:rPr>
          <w:rFonts w:ascii="Times New Roman" w:eastAsia="Times New Roman" w:hAnsi="Times New Roman"/>
          <w:i/>
          <w:iCs/>
          <w:sz w:val="16"/>
          <w:szCs w:val="16"/>
        </w:rPr>
        <w:t xml:space="preserve">:  Légende (8 </w:t>
      </w:r>
      <w:proofErr w:type="gramStart"/>
      <w:r>
        <w:rPr>
          <w:rFonts w:ascii="Times New Roman" w:eastAsia="Times New Roman" w:hAnsi="Times New Roman"/>
          <w:i/>
          <w:iCs/>
          <w:sz w:val="16"/>
          <w:szCs w:val="16"/>
        </w:rPr>
        <w:t>italique</w:t>
      </w:r>
      <w:proofErr w:type="gramEnd"/>
      <w:r>
        <w:rPr>
          <w:rFonts w:ascii="Times New Roman" w:eastAsia="Times New Roman" w:hAnsi="Times New Roman"/>
          <w:i/>
          <w:iCs/>
          <w:sz w:val="16"/>
          <w:szCs w:val="16"/>
        </w:rPr>
        <w:t>)</w:t>
      </w:r>
    </w:p>
    <w:p w14:paraId="3D215BF5" w14:textId="77777777" w:rsidR="00230541" w:rsidRDefault="00230541">
      <w:pPr>
        <w:spacing w:line="276" w:lineRule="auto"/>
        <w:rPr>
          <w:rFonts w:ascii="Times New Roman" w:eastAsia="Times New Roman" w:hAnsi="Times New Roman"/>
          <w:sz w:val="32"/>
          <w:szCs w:val="32"/>
        </w:rPr>
      </w:pPr>
    </w:p>
    <w:p w14:paraId="43D19E58" w14:textId="77777777" w:rsidR="00230541" w:rsidRDefault="00000000">
      <w:pPr>
        <w:spacing w:line="276" w:lineRule="auto"/>
      </w:pPr>
      <w:r>
        <w:rPr>
          <w:rFonts w:ascii="Times New Roman" w:eastAsia="Times New Roman" w:hAnsi="Times New Roman"/>
          <w:b/>
          <w:sz w:val="20"/>
          <w:szCs w:val="20"/>
        </w:rPr>
        <w:t>Mots clefs : Mots clefs (10 gras)</w:t>
      </w:r>
    </w:p>
    <w:p w14:paraId="5BB475BA" w14:textId="77777777" w:rsidR="00230541" w:rsidRDefault="00230541">
      <w:pPr>
        <w:spacing w:line="276" w:lineRule="auto"/>
        <w:rPr>
          <w:sz w:val="20"/>
          <w:szCs w:val="20"/>
        </w:rPr>
      </w:pPr>
    </w:p>
    <w:p w14:paraId="35153FA8" w14:textId="77777777" w:rsidR="00230541" w:rsidRPr="00D11421" w:rsidRDefault="00000000">
      <w:pPr>
        <w:spacing w:line="276" w:lineRule="auto"/>
        <w:rPr>
          <w:lang w:val="en-US"/>
        </w:rPr>
      </w:pPr>
      <w:proofErr w:type="spellStart"/>
      <w:r>
        <w:rPr>
          <w:rFonts w:ascii="Times New Roman" w:eastAsia="Times New Roman" w:hAnsi="Times New Roman"/>
          <w:b/>
          <w:sz w:val="20"/>
          <w:szCs w:val="20"/>
          <w:lang w:val="en-US"/>
        </w:rPr>
        <w:t>Références</w:t>
      </w:r>
      <w:proofErr w:type="spellEnd"/>
      <w:r>
        <w:rPr>
          <w:rFonts w:ascii="Times New Roman" w:eastAsia="Times New Roman" w:hAnsi="Times New Roman"/>
          <w:b/>
          <w:sz w:val="20"/>
          <w:szCs w:val="20"/>
          <w:lang w:val="en-US"/>
        </w:rPr>
        <w:t xml:space="preserve"> (10 gras)</w:t>
      </w:r>
    </w:p>
    <w:p w14:paraId="0B37D6C4" w14:textId="77777777" w:rsidR="00230541" w:rsidRPr="00D11421" w:rsidRDefault="00000000">
      <w:pPr>
        <w:spacing w:line="276" w:lineRule="auto"/>
        <w:rPr>
          <w:lang w:val="en-US"/>
        </w:rPr>
      </w:pPr>
      <w:r>
        <w:rPr>
          <w:rFonts w:ascii="Times New Roman" w:eastAsia="Times New Roman" w:hAnsi="Times New Roman"/>
          <w:sz w:val="16"/>
          <w:szCs w:val="16"/>
          <w:lang w:val="en-US"/>
        </w:rPr>
        <w:t>[1] C. Smith, J.C. Green, Modeled behavior of hydrodynamic bearings in thermal engine, Mechanics &amp; Industry10 (2009) 55-72</w:t>
      </w:r>
    </w:p>
    <w:p w14:paraId="7836E2A9" w14:textId="77777777" w:rsidR="00230541" w:rsidRPr="00D11421" w:rsidRDefault="00000000">
      <w:pPr>
        <w:spacing w:line="276" w:lineRule="auto"/>
        <w:jc w:val="both"/>
        <w:rPr>
          <w:lang w:val="en-US"/>
        </w:rPr>
      </w:pPr>
      <w:r>
        <w:rPr>
          <w:rFonts w:ascii="Times New Roman" w:eastAsia="Times New Roman" w:hAnsi="Times New Roman"/>
          <w:sz w:val="16"/>
          <w:szCs w:val="16"/>
          <w:lang w:val="en-US"/>
        </w:rPr>
        <w:t xml:space="preserve">[2] M.N. </w:t>
      </w:r>
      <w:proofErr w:type="spellStart"/>
      <w:r>
        <w:rPr>
          <w:rFonts w:ascii="Times New Roman" w:eastAsia="Times New Roman" w:hAnsi="Times New Roman"/>
          <w:sz w:val="16"/>
          <w:szCs w:val="16"/>
          <w:lang w:val="en-US"/>
        </w:rPr>
        <w:t>Ozisik</w:t>
      </w:r>
      <w:proofErr w:type="spellEnd"/>
      <w:r>
        <w:rPr>
          <w:rFonts w:ascii="Times New Roman" w:eastAsia="Times New Roman" w:hAnsi="Times New Roman"/>
          <w:sz w:val="16"/>
          <w:szCs w:val="16"/>
          <w:lang w:val="en-US"/>
        </w:rPr>
        <w:t>, Radiative transfer and interactions with conduction and convection, John Wiley and Sons, New York, 1973</w:t>
      </w:r>
    </w:p>
    <w:p w14:paraId="6CA255D8" w14:textId="77777777" w:rsidR="00230541" w:rsidRDefault="00000000">
      <w:pPr>
        <w:spacing w:line="276" w:lineRule="auto"/>
        <w:jc w:val="both"/>
      </w:pPr>
      <w:r>
        <w:rPr>
          <w:rFonts w:ascii="Times New Roman" w:eastAsia="Times New Roman" w:hAnsi="Times New Roman"/>
          <w:sz w:val="16"/>
          <w:szCs w:val="16"/>
        </w:rPr>
        <w:lastRenderedPageBreak/>
        <w:t>[3] P. Sebastian, Analyse de réseaux de transferts : application à l’expertise de séchoirs, Thèse, Université Bordeaux I, 1992.</w:t>
      </w:r>
    </w:p>
    <w:sectPr w:rsidR="00230541">
      <w:headerReference w:type="default" r:id="rId9"/>
      <w:footerReference w:type="default" r:id="rId10"/>
      <w:pgSz w:w="11906" w:h="16838"/>
      <w:pgMar w:top="1417" w:right="1417" w:bottom="1417" w:left="141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3C47" w14:textId="77777777" w:rsidR="00900AB3" w:rsidRDefault="00900AB3">
      <w:r>
        <w:separator/>
      </w:r>
    </w:p>
  </w:endnote>
  <w:endnote w:type="continuationSeparator" w:id="0">
    <w:p w14:paraId="6BC039F9" w14:textId="77777777" w:rsidR="00900AB3" w:rsidRDefault="0090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Noto Sans CJK SC Regular">
    <w:charset w:val="00"/>
    <w:family w:val="auto"/>
    <w:pitch w:val="variable"/>
  </w:font>
  <w:font w:name="Lohit Devanaga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ingFang SC">
    <w:charset w:val="00"/>
    <w:family w:val="auto"/>
    <w:pitch w:val="variable"/>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5F57" w14:textId="77777777" w:rsidR="002563AF" w:rsidRDefault="002563AF">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9347" w14:textId="77777777" w:rsidR="00900AB3" w:rsidRDefault="00900AB3">
      <w:r>
        <w:rPr>
          <w:color w:val="000000"/>
        </w:rPr>
        <w:separator/>
      </w:r>
    </w:p>
  </w:footnote>
  <w:footnote w:type="continuationSeparator" w:id="0">
    <w:p w14:paraId="4D69F0A9" w14:textId="77777777" w:rsidR="00900AB3" w:rsidRDefault="00900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F35A" w14:textId="66EDD76A" w:rsidR="002563AF" w:rsidRDefault="00000000">
    <w:pPr>
      <w:pBdr>
        <w:bottom w:val="single" w:sz="12" w:space="1" w:color="000000"/>
      </w:pBdr>
      <w:tabs>
        <w:tab w:val="right" w:pos="9073"/>
      </w:tabs>
    </w:pPr>
    <w:r>
      <w:rPr>
        <w:rFonts w:ascii="Times New Roman" w:eastAsia="Times New Roman" w:hAnsi="Times New Roman"/>
        <w:i/>
      </w:rPr>
      <w:t>Congrès des Jeunes Chercheurs en Mécanique (MECA-J)</w:t>
    </w:r>
    <w:r>
      <w:rPr>
        <w:rFonts w:ascii="Times New Roman" w:eastAsia="Times New Roman" w:hAnsi="Times New Roman"/>
        <w:i/>
      </w:rPr>
      <w:tab/>
      <w:t xml:space="preserve"> </w:t>
    </w:r>
    <w:r w:rsidR="00CA0717">
      <w:rPr>
        <w:rFonts w:ascii="Times New Roman" w:eastAsia="Times New Roman" w:hAnsi="Times New Roman"/>
        <w:i/>
      </w:rPr>
      <w:t xml:space="preserve">Strasbourg, </w:t>
    </w:r>
    <w:r>
      <w:rPr>
        <w:rFonts w:ascii="Times New Roman" w:eastAsia="Times New Roman" w:hAnsi="Times New Roman"/>
        <w:i/>
      </w:rPr>
      <w:t>du 2</w:t>
    </w:r>
    <w:r w:rsidR="00D11421">
      <w:rPr>
        <w:rFonts w:ascii="Times New Roman" w:eastAsia="Times New Roman" w:hAnsi="Times New Roman"/>
        <w:i/>
      </w:rPr>
      <w:t>6</w:t>
    </w:r>
    <w:r>
      <w:rPr>
        <w:rFonts w:ascii="Times New Roman" w:eastAsia="Times New Roman" w:hAnsi="Times New Roman"/>
        <w:i/>
      </w:rPr>
      <w:t xml:space="preserve"> au </w:t>
    </w:r>
    <w:r w:rsidR="00D11421">
      <w:rPr>
        <w:rFonts w:ascii="Times New Roman" w:eastAsia="Times New Roman" w:hAnsi="Times New Roman"/>
        <w:i/>
      </w:rPr>
      <w:t>28</w:t>
    </w:r>
    <w:r>
      <w:rPr>
        <w:rFonts w:ascii="Times New Roman" w:eastAsia="Times New Roman" w:hAnsi="Times New Roman"/>
        <w:i/>
      </w:rPr>
      <w:t xml:space="preserve"> août 202</w:t>
    </w:r>
    <w:r w:rsidR="00D11421">
      <w:rPr>
        <w:rFonts w:ascii="Times New Roman" w:eastAsia="Times New Roman" w:hAnsi="Times New Roman"/>
        <w:i/>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41"/>
    <w:rsid w:val="00230541"/>
    <w:rsid w:val="002563AF"/>
    <w:rsid w:val="00900AB3"/>
    <w:rsid w:val="00905E3D"/>
    <w:rsid w:val="00CA0717"/>
    <w:rsid w:val="00D11421"/>
    <w:rsid w:val="00DC2135"/>
    <w:rsid w:val="00E441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AE98"/>
  <w15:docId w15:val="{9D7E4672-31EF-45B7-804F-02BF92A5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MS Mincho" w:hAnsi="Cambria"/>
      <w:sz w:val="24"/>
      <w:szCs w:val="24"/>
      <w:lang w:eastAsia="zh-CN"/>
    </w:rPr>
  </w:style>
  <w:style w:type="paragraph" w:styleId="Titre1">
    <w:name w:val="heading 1"/>
    <w:basedOn w:val="Titre10"/>
    <w:next w:val="Corpsdetexte"/>
    <w:uiPriority w:val="9"/>
    <w:qFormat/>
    <w:pPr>
      <w:outlineLvl w:val="0"/>
    </w:pPr>
    <w:rPr>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Policepardfaut1">
    <w:name w:val="Police par défaut1"/>
  </w:style>
  <w:style w:type="character" w:customStyle="1" w:styleId="En-tteCar">
    <w:name w:val="En-tête Car"/>
    <w:rPr>
      <w:lang w:val="fr-FR"/>
    </w:rPr>
  </w:style>
  <w:style w:type="character" w:customStyle="1" w:styleId="PieddepageCar">
    <w:name w:val="Pied de page Car"/>
    <w:rPr>
      <w:lang w:val="fr-FR"/>
    </w:rPr>
  </w:style>
  <w:style w:type="paragraph" w:customStyle="1" w:styleId="Heading">
    <w:name w:val="Heading"/>
    <w:basedOn w:val="Normal"/>
    <w:next w:val="Corpsdetexte"/>
    <w:pPr>
      <w:keepNext/>
      <w:spacing w:before="240" w:after="120"/>
    </w:pPr>
    <w:rPr>
      <w:rFonts w:ascii="Liberation Sans" w:eastAsia="PingFang SC"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pPr>
      <w:suppressLineNumbers/>
      <w:spacing w:before="120" w:after="120"/>
    </w:pPr>
    <w:rPr>
      <w:rFonts w:cs="Arial Unicode MS"/>
      <w:i/>
      <w:iCs/>
    </w:rPr>
  </w:style>
  <w:style w:type="paragraph" w:customStyle="1" w:styleId="Index">
    <w:name w:val="Index"/>
    <w:basedOn w:val="Normal"/>
    <w:pPr>
      <w:suppressLineNumbers/>
    </w:pPr>
    <w:rPr>
      <w:rFonts w:cs="Lohit Devanagari"/>
    </w:rPr>
  </w:style>
  <w:style w:type="paragraph" w:customStyle="1" w:styleId="Titre10">
    <w:name w:val="Titre1"/>
    <w:basedOn w:val="Normal"/>
    <w:next w:val="Corpsdetexte"/>
    <w:pPr>
      <w:keepNext/>
      <w:spacing w:before="240" w:after="120"/>
    </w:pPr>
    <w:rPr>
      <w:rFonts w:ascii="Liberation Sans" w:eastAsia="Noto Sans CJK SC Regular" w:hAnsi="Liberation Sans" w:cs="Lohit Devanagari"/>
      <w:sz w:val="28"/>
      <w:szCs w:val="28"/>
    </w:rPr>
  </w:style>
  <w:style w:type="paragraph" w:customStyle="1" w:styleId="Lgende1">
    <w:name w:val="Légende1"/>
    <w:basedOn w:val="Normal"/>
    <w:pPr>
      <w:suppressLineNumbers/>
      <w:spacing w:before="120" w:after="120"/>
    </w:pPr>
    <w:rPr>
      <w:rFonts w:cs="Lohit Devanagari"/>
      <w:i/>
      <w:iCs/>
    </w:rPr>
  </w:style>
  <w:style w:type="paragraph" w:customStyle="1" w:styleId="HeaderandFooter">
    <w:name w:val="Header and Footer"/>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Listecouleur-Accent11">
    <w:name w:val="Liste couleur - Accent 11"/>
    <w:basedOn w:val="Normal"/>
    <w:pPr>
      <w:ind w:left="720"/>
    </w:pPr>
  </w:style>
  <w:style w:type="character" w:styleId="Lienhypertexte">
    <w:name w:val="Hyperlink"/>
    <w:basedOn w:val="Policepardfaut"/>
    <w:uiPriority w:val="99"/>
    <w:unhideWhenUsed/>
    <w:rsid w:val="00D11421"/>
    <w:rPr>
      <w:color w:val="467886" w:themeColor="hyperlink"/>
      <w:u w:val="single"/>
    </w:rPr>
  </w:style>
  <w:style w:type="character" w:styleId="Mentionnonrsolue">
    <w:name w:val="Unresolved Mention"/>
    <w:basedOn w:val="Policepardfaut"/>
    <w:uiPriority w:val="99"/>
    <w:semiHidden/>
    <w:unhideWhenUsed/>
    <w:rsid w:val="00D11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gttaum.wordpres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fm.asso.f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marie-ange.bueno</dc:creator>
  <cp:lastModifiedBy>Zghal Jihed</cp:lastModifiedBy>
  <cp:revision>3</cp:revision>
  <cp:lastPrinted>1995-11-21T16:41:00Z</cp:lastPrinted>
  <dcterms:created xsi:type="dcterms:W3CDTF">2026-01-22T11:42:00Z</dcterms:created>
  <dcterms:modified xsi:type="dcterms:W3CDTF">2026-01-22T12:07:00Z</dcterms:modified>
</cp:coreProperties>
</file>